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19" w:rsidRPr="00565419" w:rsidRDefault="00565419" w:rsidP="005654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7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Јавни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позив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пријављивање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пописиваче</w:t>
      </w:r>
      <w:proofErr w:type="spellEnd"/>
    </w:p>
    <w:p w:rsidR="00565419" w:rsidRPr="00565419" w:rsidRDefault="00565419" w:rsidP="00565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2743200" cy="1704975"/>
            <wp:effectExtent l="19050" t="0" r="0" b="0"/>
            <wp:docPr id="1" name="Слика 1" descr="PopisPo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Polj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19" w:rsidRPr="00565419" w:rsidRDefault="00565419" w:rsidP="0056541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91EE"/>
          <w:sz w:val="23"/>
          <w:szCs w:val="23"/>
        </w:rPr>
      </w:pPr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15.08.2023. -</w:t>
      </w:r>
    </w:p>
    <w:p w:rsidR="00565419" w:rsidRPr="00565419" w:rsidRDefault="00565419" w:rsidP="005654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5419" w:rsidRPr="00565419" w:rsidRDefault="00565419" w:rsidP="0056541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91EE"/>
          <w:sz w:val="23"/>
          <w:szCs w:val="23"/>
        </w:rPr>
      </w:pPr>
      <w:proofErr w:type="spellStart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Јавни</w:t>
      </w:r>
      <w:proofErr w:type="spellEnd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позив</w:t>
      </w:r>
      <w:proofErr w:type="spellEnd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за</w:t>
      </w:r>
      <w:proofErr w:type="spellEnd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пријављивање</w:t>
      </w:r>
      <w:proofErr w:type="spellEnd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кандидата</w:t>
      </w:r>
      <w:proofErr w:type="spellEnd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за</w:t>
      </w:r>
      <w:proofErr w:type="spellEnd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0091EE"/>
          <w:sz w:val="23"/>
          <w:szCs w:val="23"/>
        </w:rPr>
        <w:t>пописиваче</w:t>
      </w:r>
      <w:proofErr w:type="spell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b/>
          <w:bCs/>
          <w:color w:val="333333"/>
          <w:sz w:val="21"/>
          <w:szCs w:val="21"/>
        </w:rPr>
        <w:br/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Републички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завод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за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статистику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на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основу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Закона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Попису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2023.</w:t>
      </w:r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године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(„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Службени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гласник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РС”,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бр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. 76/21), </w:t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GRANT CONTRACT − EXTERNAL ACTIONS OF THE EUROPEAN UNION − 2019/408-825 – EU for Development of Statistics in Serbia, IPA 2018 National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Programme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закљученог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22. </w:t>
      </w: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јула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2019.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године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између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Европске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уније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Делегације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Европске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уније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Републици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Србији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Републичког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завода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статистику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03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број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404-701,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Закона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државним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службеницима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(„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Службени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гласник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РС”,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. 79/05,  81/05,  83/05,  64/07,  67/07, 116/08, 104/09, 99/14, 94/17, 95/18 и 157/20),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Закона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запосленима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аутономним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покрајинама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јединицама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локалне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самоуправе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(„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Службени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гласник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РС”,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. 21/16, 113/17 , 113/17-I -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други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закон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95/18 и 114/21)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Закона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(„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Службени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гласник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РС“,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. 24/05, 61/05, 54/09, 32/13, 75/14, 13/17 –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одлука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УС РС, 113/17 и 95/18 –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аутентично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тумачење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),</w:t>
      </w:r>
      <w:r w:rsidRPr="00565419">
        <w:rPr>
          <w:rFonts w:ascii="Arial" w:eastAsia="Times New Roman" w:hAnsi="Arial" w:cs="Arial"/>
          <w:b/>
          <w:bCs/>
          <w:color w:val="333333"/>
          <w:sz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објављује</w:t>
      </w:r>
      <w:proofErr w:type="spell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b/>
          <w:bCs/>
          <w:color w:val="333333"/>
          <w:sz w:val="21"/>
        </w:rPr>
        <w:t> 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b/>
          <w:bCs/>
          <w:color w:val="333333"/>
          <w:sz w:val="21"/>
        </w:rPr>
        <w:t>ЈАВНИ ПОЗИВ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b/>
          <w:bCs/>
          <w:color w:val="333333"/>
          <w:sz w:val="21"/>
        </w:rPr>
        <w:t>ЗА ПРИЈАВЉИВАЊЕ КАНДИДАТА ЗА ПОПИСИВАЧЕ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пријављивање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периоду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15. </w:t>
      </w: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21. </w:t>
      </w: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августа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20.00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часова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)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Републички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статистику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даљем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тексту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упућује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јавни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позив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свим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заинтересованим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кандидатима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посао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пописивача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потребе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спровођења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Пописа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2023.</w:t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t> (</w:t>
      </w:r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</w:t>
      </w:r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даљем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тексту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спроводи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периоду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од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1.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октобра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до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15.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децембра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2023.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године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Пописивачи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имају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обавезу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почетка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пописивања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присуствују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петодневној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обуци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савладају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методологију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апликацији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прикупљање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података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1.</w:t>
      </w:r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октобра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15. </w:t>
      </w: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децембра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дужни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попишу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јединице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газдинства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додељеном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Адресару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газдинстава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, 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користећи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лаптоп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унос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података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електронске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упитнике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потребе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спровођења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биће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ангажовано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2842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пописивача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територије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следећих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општина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Александровац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Алексинац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Алибунар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Апатин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Аранђеловац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Ариље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Бабушница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Бајина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Башта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Барајево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Баточина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Бач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Бачка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Паланка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Бачка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Топола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Бачки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Петровац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Бела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Паланка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Бела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Црква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Беочин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Бечеј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Блаце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Богатић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Бојник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Бољевац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Бор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Босилеград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Брус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Бујановац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Ваљево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(42),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Варварин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Велика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Плана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Велико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Градиште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Владимирци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Владичин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Хан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Власотинце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Вождовац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–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Врањска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Врачар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Врбас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Врњачка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Вршац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Гаџин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Хан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Голубац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Горњи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Милановац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Гроцка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Деспотовац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Димитровград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Дољевац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Жабаљ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Жабари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Жагубица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Житиште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Житорађа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Зајечар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Звездара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Земун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Зрењанин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Ивањица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Инђија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Ириг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Јагодина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Кањижа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Кикинда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Кладово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Кнић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Књажевац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Ковачица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Ковин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Косјерић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Костолац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(3), 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Коцељева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Крагујевац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(42),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Краљево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(50),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Крупањ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Крушевац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(54),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Кула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Куршумлија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Кучево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Лазаревац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Лајковац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Лапово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(3), 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Лебане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Лесковац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(73),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Лозница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Лучани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Љиг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Љубовија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Мајданпек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Мали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Зворник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Мали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Иђош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Мало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Црниће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Медвеђа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Медијана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Ниш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 (6),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Мерошина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Мионица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Младеновац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Неготин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Нишка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Варош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Црња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Нови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Београд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Нови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Бечеј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Нови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Кнежевац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Нови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Пазар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Нови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Обреновац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Опово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Осечина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Оџаци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Палилула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Београд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Палилула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Ниш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Пантелеј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Ниш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Панчево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Параћин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Петровац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Млави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Пећинци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Пирот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Пландиште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Пожаревац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Пожега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Прешево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Прибој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Пријепоље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Прокупље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Ражањ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Раковица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Рача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Рашка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Рековац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Рума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Савски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венац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Свилајнац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Сврљиг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Севојно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Сента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Сечањ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Сјеница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Смедерево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Смедеревска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Паланка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Сокобања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Сомбор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(41),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Сопот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Србобран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Сремска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Митровица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(35),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Сремски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Карловци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Стара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Пазова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Стари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Суботица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Сурдулица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Сурчин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Темерин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Тител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Топола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(17),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Трговиште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(9),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Трстеник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Тутин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Ћићевац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(6),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Ћуприја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Уб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(24),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Ужице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(33),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Црна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Трава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Црвени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крст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Ниш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 (13),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Чајетина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Чачак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(50),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Чока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(8),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Чукарица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(11),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Шабац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(53)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Шид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(20).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Број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ограничен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Период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ангажовања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:</w:t>
      </w:r>
      <w:r w:rsidRPr="00565419">
        <w:rPr>
          <w:rFonts w:ascii="Arial" w:eastAsia="Times New Roman" w:hAnsi="Arial" w:cs="Arial"/>
          <w:b/>
          <w:bCs/>
          <w:color w:val="333333"/>
          <w:sz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од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01.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октобра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до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22.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децембра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2023.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године</w:t>
      </w:r>
      <w:proofErr w:type="spellEnd"/>
      <w:proofErr w:type="gram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Напомена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:</w:t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 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време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обиласка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терена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током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теренске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реализације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прерасподела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времена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врши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складу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Планом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активности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може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укључивати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викендом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Општи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услови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које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кандидат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треба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испуни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:</w:t>
      </w:r>
    </w:p>
    <w:p w:rsidR="00565419" w:rsidRPr="00565419" w:rsidRDefault="00565419" w:rsidP="00565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држављанство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Републике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Србије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пребивалиште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пријављено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боравиште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Републици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Србији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најмање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18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година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старости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тренутку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попуњавања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стечено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најмање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трогодишње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средње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образовање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осуђиван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против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покренута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истрага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против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њега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води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кривични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поступак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Подразумева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се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познавање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рада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на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рачунару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(MS Office,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интернет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) и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могућност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приступа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интернету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током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периода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ангажовања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.</w:t>
      </w:r>
      <w:proofErr w:type="gramEnd"/>
    </w:p>
    <w:p w:rsidR="00565419" w:rsidRPr="00565419" w:rsidRDefault="00565419" w:rsidP="00565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Критеријуми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избор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565419" w:rsidRPr="00565419" w:rsidRDefault="00565419" w:rsidP="005654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стручна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спрема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област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образовања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статус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учествовање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становништва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домаћинстава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станова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2022. </w:t>
      </w: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године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статистичким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акцијама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Завода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из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области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2012,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Истраживање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структури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газдинстава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2018.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редовна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статистичка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 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истраживања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области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 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последњих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5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година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).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Предност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избору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имаће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565419" w:rsidRPr="00565419" w:rsidRDefault="00565419" w:rsidP="005654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поседују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диплому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стеченом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образовању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из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области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;</w:t>
      </w:r>
    </w:p>
    <w:p w:rsidR="00565419" w:rsidRPr="00565419" w:rsidRDefault="00565419" w:rsidP="005654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који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учествовали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становништва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домаћинстава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станова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2022.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године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статистичким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акцијама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Завода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из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области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2012,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Истраживање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структури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газдинстава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2018.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редовна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статистичка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 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истраживања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области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 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последњих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5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година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);</w:t>
      </w:r>
    </w:p>
    <w:p w:rsidR="00565419" w:rsidRPr="00565419" w:rsidRDefault="00565419" w:rsidP="005654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који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имају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могућност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коришћења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сопственог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возила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изабраним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кандидатима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зависности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њиховог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статуса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закључује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565419" w:rsidRPr="00565419" w:rsidRDefault="00565419" w:rsidP="005654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Уговор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привременим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повременим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пословима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незапослена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запослена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непуним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временом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,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старосни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пензионери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ангажована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основу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Уговора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обављању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привремених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повремених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послова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највише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30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другог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послодавца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)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</w:p>
    <w:p w:rsidR="00565419" w:rsidRPr="00565419" w:rsidRDefault="00565419" w:rsidP="005654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Уговор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о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допунском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раду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 </w:t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t>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запослена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пуним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временом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другог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послодавца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)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65419">
        <w:rPr>
          <w:rFonts w:ascii="Arial" w:eastAsia="Times New Roman" w:hAnsi="Arial" w:cs="Arial"/>
          <w:b/>
          <w:bCs/>
          <w:color w:val="333333"/>
          <w:sz w:val="21"/>
        </w:rPr>
        <w:t>ВАЖНА НАПОМЕНА: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Завод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одговоран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евентуални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губитак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промену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права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ангажованог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лица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може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доћи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услед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промене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његовог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радноправног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статуса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остваривања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накнаде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нпр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обустављање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исплате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породичне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пензије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промена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основа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Централном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регистру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обавезног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социјалног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осигурања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накнаде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случај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незапослености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учешће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програмима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стручног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усавршавања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програма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„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Моја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прва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плата</w:t>
      </w:r>
      <w:proofErr w:type="spellEnd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“ и</w:t>
      </w:r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.). 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могу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пријавити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само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територији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општине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града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којем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имају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пријављено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пребивалиште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боравиште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Изузетно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ангажовани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станицама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саветодавних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стручних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служби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(ПССС), и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ангажовани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другим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службама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вези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пољопривредом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станују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једној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а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другој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општини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могу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конкуришу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својству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пописивача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општини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студенти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школују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ван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места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становања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могу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рад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својству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пописивача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својој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општини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граду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или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општини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/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граду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у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којем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привремено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живе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током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студија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пријављују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искључиво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попуњавањем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електронске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пријаве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која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ће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бити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активна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од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од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уторка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15.</w:t>
      </w:r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августа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од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тренутка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објављивања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јавног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позива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)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до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понедељка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21.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августа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2023.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године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(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до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20.00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часова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).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Кандидати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ће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бити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рангирани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на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основу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податка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из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пријаве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о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општини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 у</w:t>
      </w:r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којем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имају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пријављено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пребивалиште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или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боравиште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и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остварених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бодова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.</w:t>
      </w:r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може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попуни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само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  <w:u w:val="single"/>
        </w:rPr>
        <w:t>једну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пријаву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попуњавања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електронске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пријаве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обавезно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прочитати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 </w:t>
      </w:r>
      <w:proofErr w:type="spellStart"/>
      <w:r w:rsidRPr="00565419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fldChar w:fldCharType="begin"/>
      </w:r>
      <w:r w:rsidRPr="00565419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instrText xml:space="preserve"> HYPERLINK "https://popispoljoprivrede.stat.gov.rs/media/30988/procedura-za-izbor-popisivaca_cir.pdf" \o "procedura" </w:instrText>
      </w:r>
      <w:r w:rsidRPr="00565419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fldChar w:fldCharType="separate"/>
      </w:r>
      <w:r w:rsidRPr="00565419">
        <w:rPr>
          <w:rFonts w:ascii="Arial" w:eastAsia="Times New Roman" w:hAnsi="Arial" w:cs="Arial"/>
          <w:b/>
          <w:bCs/>
          <w:i/>
          <w:iCs/>
          <w:color w:val="337AB7"/>
          <w:sz w:val="21"/>
        </w:rPr>
        <w:t>Процедуру</w:t>
      </w:r>
      <w:proofErr w:type="spellEnd"/>
      <w:r w:rsidRPr="00565419">
        <w:rPr>
          <w:rFonts w:ascii="Arial" w:eastAsia="Times New Roman" w:hAnsi="Arial" w:cs="Arial"/>
          <w:b/>
          <w:bCs/>
          <w:i/>
          <w:iCs/>
          <w:color w:val="337AB7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i/>
          <w:iCs/>
          <w:color w:val="337AB7"/>
          <w:sz w:val="21"/>
        </w:rPr>
        <w:t>за</w:t>
      </w:r>
      <w:proofErr w:type="spellEnd"/>
      <w:r w:rsidRPr="00565419">
        <w:rPr>
          <w:rFonts w:ascii="Arial" w:eastAsia="Times New Roman" w:hAnsi="Arial" w:cs="Arial"/>
          <w:b/>
          <w:bCs/>
          <w:i/>
          <w:iCs/>
          <w:color w:val="337AB7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i/>
          <w:iCs/>
          <w:color w:val="337AB7"/>
          <w:sz w:val="21"/>
        </w:rPr>
        <w:t>избор</w:t>
      </w:r>
      <w:proofErr w:type="spellEnd"/>
      <w:r w:rsidRPr="00565419">
        <w:rPr>
          <w:rFonts w:ascii="Arial" w:eastAsia="Times New Roman" w:hAnsi="Arial" w:cs="Arial"/>
          <w:b/>
          <w:bCs/>
          <w:i/>
          <w:iCs/>
          <w:color w:val="337AB7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i/>
          <w:iCs/>
          <w:color w:val="337AB7"/>
          <w:sz w:val="21"/>
        </w:rPr>
        <w:t>пописивача</w:t>
      </w:r>
      <w:proofErr w:type="spellEnd"/>
      <w:r w:rsidRPr="00565419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fldChar w:fldCharType="end"/>
      </w:r>
      <w:r w:rsidRPr="00565419">
        <w:rPr>
          <w:rFonts w:ascii="Arial" w:eastAsia="Times New Roman" w:hAnsi="Arial" w:cs="Arial"/>
          <w:b/>
          <w:bCs/>
          <w:i/>
          <w:iCs/>
          <w:color w:val="333333"/>
          <w:sz w:val="21"/>
        </w:rPr>
        <w:t>.</w:t>
      </w:r>
      <w:proofErr w:type="gram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Попуњавање</w:t>
      </w:r>
      <w:proofErr w:type="spell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"https://pod2.stat.gov.rs/PrijavaPopisPoljPOP/Prijava/PPP" \o "пријава" \t "_blank" </w:instrText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5419">
        <w:rPr>
          <w:rFonts w:ascii="Arial" w:eastAsia="Times New Roman" w:hAnsi="Arial" w:cs="Arial"/>
          <w:b/>
          <w:bCs/>
          <w:color w:val="337AB7"/>
          <w:sz w:val="21"/>
        </w:rPr>
        <w:t>електронске</w:t>
      </w:r>
      <w:proofErr w:type="spellEnd"/>
      <w:r w:rsidRPr="00565419">
        <w:rPr>
          <w:rFonts w:ascii="Arial" w:eastAsia="Times New Roman" w:hAnsi="Arial" w:cs="Arial"/>
          <w:b/>
          <w:bCs/>
          <w:color w:val="337AB7"/>
          <w:sz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b/>
          <w:bCs/>
          <w:color w:val="337AB7"/>
          <w:sz w:val="21"/>
        </w:rPr>
        <w:t>пријаве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565419" w:rsidRPr="00565419" w:rsidRDefault="00565419" w:rsidP="0056541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Ранг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листа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пријављених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кандидата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пописиваче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по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општинама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објављује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се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5419">
        <w:rPr>
          <w:rFonts w:ascii="Arial" w:eastAsia="Times New Roman" w:hAnsi="Arial" w:cs="Arial"/>
          <w:b/>
          <w:bCs/>
          <w:color w:val="333333"/>
          <w:sz w:val="21"/>
        </w:rPr>
        <w:t>22.</w:t>
      </w:r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августа</w:t>
      </w:r>
      <w:proofErr w:type="spellEnd"/>
      <w:proofErr w:type="gramEnd"/>
      <w:r w:rsidRPr="00565419">
        <w:rPr>
          <w:rFonts w:ascii="Arial" w:eastAsia="Times New Roman" w:hAnsi="Arial" w:cs="Arial"/>
          <w:b/>
          <w:bCs/>
          <w:color w:val="333333"/>
          <w:sz w:val="21"/>
        </w:rPr>
        <w:t xml:space="preserve"> 2023. </w:t>
      </w:r>
      <w:proofErr w:type="spellStart"/>
      <w:proofErr w:type="gramStart"/>
      <w:r w:rsidRPr="00565419">
        <w:rPr>
          <w:rFonts w:ascii="Arial" w:eastAsia="Times New Roman" w:hAnsi="Arial" w:cs="Arial"/>
          <w:b/>
          <w:bCs/>
          <w:color w:val="333333"/>
          <w:sz w:val="21"/>
        </w:rPr>
        <w:t>године</w:t>
      </w:r>
      <w:proofErr w:type="spellEnd"/>
      <w:proofErr w:type="gramEnd"/>
      <w:r w:rsidRPr="00565419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на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веб-сајтовима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t>Завода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t xml:space="preserve"> 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"https://www.stat.gov.rs/" </w:instrText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5419">
        <w:rPr>
          <w:rFonts w:ascii="Arial" w:eastAsia="Times New Roman" w:hAnsi="Arial" w:cs="Arial"/>
          <w:color w:val="337AB7"/>
          <w:sz w:val="21"/>
        </w:rPr>
        <w:t>stat.gov.rs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t> и  </w:t>
      </w:r>
      <w:proofErr w:type="spellStart"/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"http://www.popispoljoprivrede.stat.gov.rs/" </w:instrText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5419">
        <w:rPr>
          <w:rFonts w:ascii="Arial" w:eastAsia="Times New Roman" w:hAnsi="Arial" w:cs="Arial"/>
          <w:color w:val="337AB7"/>
          <w:sz w:val="21"/>
        </w:rPr>
        <w:t>popispoljoprivrede.stat.gov.rs</w:t>
      </w:r>
      <w:proofErr w:type="spellEnd"/>
      <w:r w:rsidRPr="0056541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r w:rsidRPr="00565419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AD00EB" w:rsidRDefault="00565419">
      <w:r>
        <w:t xml:space="preserve"> </w:t>
      </w:r>
    </w:p>
    <w:p w:rsidR="00565419" w:rsidRDefault="00565419"/>
    <w:sectPr w:rsidR="00565419" w:rsidSect="00AD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0EE"/>
    <w:multiLevelType w:val="multilevel"/>
    <w:tmpl w:val="546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049CF"/>
    <w:multiLevelType w:val="multilevel"/>
    <w:tmpl w:val="7CFE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F28CE"/>
    <w:multiLevelType w:val="multilevel"/>
    <w:tmpl w:val="668E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F43A9"/>
    <w:multiLevelType w:val="multilevel"/>
    <w:tmpl w:val="F35C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7167A"/>
    <w:multiLevelType w:val="multilevel"/>
    <w:tmpl w:val="A8D0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65419"/>
    <w:rsid w:val="00565419"/>
    <w:rsid w:val="0081241E"/>
    <w:rsid w:val="00AD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E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2">
    <w:name w:val="Strong"/>
    <w:basedOn w:val="a"/>
    <w:uiPriority w:val="22"/>
    <w:qFormat/>
    <w:rsid w:val="00565419"/>
    <w:rPr>
      <w:b/>
      <w:bCs/>
    </w:rPr>
  </w:style>
  <w:style w:type="character" w:styleId="a3">
    <w:name w:val="Emphasis"/>
    <w:basedOn w:val="a"/>
    <w:uiPriority w:val="20"/>
    <w:qFormat/>
    <w:rsid w:val="00565419"/>
    <w:rPr>
      <w:i/>
      <w:iCs/>
    </w:rPr>
  </w:style>
  <w:style w:type="character" w:styleId="a4">
    <w:name w:val="Hyperlink"/>
    <w:basedOn w:val="a"/>
    <w:uiPriority w:val="99"/>
    <w:semiHidden/>
    <w:unhideWhenUsed/>
    <w:rsid w:val="00565419"/>
    <w:rPr>
      <w:color w:val="0000FF"/>
      <w:u w:val="single"/>
    </w:rPr>
  </w:style>
  <w:style w:type="paragraph" w:styleId="a5">
    <w:name w:val="Balloon Text"/>
    <w:basedOn w:val="Normal"/>
    <w:link w:val="Char"/>
    <w:uiPriority w:val="99"/>
    <w:semiHidden/>
    <w:unhideWhenUsed/>
    <w:rsid w:val="0056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5"/>
    <w:uiPriority w:val="99"/>
    <w:semiHidden/>
    <w:rsid w:val="0056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7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OptiPlexIII</dc:creator>
  <cp:lastModifiedBy>OptiPlexIII</cp:lastModifiedBy>
  <cp:revision>2</cp:revision>
  <cp:lastPrinted>2023-08-15T06:21:00Z</cp:lastPrinted>
  <dcterms:created xsi:type="dcterms:W3CDTF">2023-08-15T06:18:00Z</dcterms:created>
  <dcterms:modified xsi:type="dcterms:W3CDTF">2023-08-15T06:22:00Z</dcterms:modified>
</cp:coreProperties>
</file>